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59B7" w14:textId="2746811C" w:rsidR="00CA1C03" w:rsidRPr="009856BE" w:rsidRDefault="00D8658E" w:rsidP="009856BE">
      <w:pPr>
        <w:spacing w:line="240" w:lineRule="auto"/>
        <w:rPr>
          <w:rFonts w:hAnsi="ＭＳ 明朝"/>
          <w:color w:val="000000" w:themeColor="text1"/>
          <w:szCs w:val="21"/>
        </w:rPr>
      </w:pPr>
      <w:r w:rsidRPr="009856BE">
        <w:rPr>
          <w:rFonts w:hAnsi="ＭＳ 明朝" w:hint="eastAsia"/>
          <w:color w:val="000000" w:themeColor="text1"/>
          <w:szCs w:val="21"/>
        </w:rPr>
        <w:t>第３号様式（その２）（第６条関係）</w:t>
      </w: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1122D8">
        <w:rPr>
          <w:rFonts w:hAnsi="ＭＳ 明朝" w:hint="eastAsia"/>
          <w:color w:val="000000"/>
          <w:spacing w:val="165"/>
          <w:szCs w:val="21"/>
          <w:fitText w:val="1337" w:id="-740462848"/>
        </w:rPr>
        <w:t>所在</w:t>
      </w:r>
      <w:r w:rsidRPr="001122D8">
        <w:rPr>
          <w:rFonts w:hAnsi="ＭＳ 明朝" w:hint="eastAsia"/>
          <w:color w:val="000000"/>
          <w:spacing w:val="22"/>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1122D8">
        <w:rPr>
          <w:rFonts w:hAnsi="ＭＳ 明朝" w:hint="eastAsia"/>
          <w:color w:val="000000"/>
          <w:spacing w:val="15"/>
          <w:szCs w:val="21"/>
          <w:fitText w:val="1337" w:id="-740462847"/>
        </w:rPr>
        <w:t>商号又は名</w:t>
      </w:r>
      <w:r w:rsidRPr="001122D8">
        <w:rPr>
          <w:rFonts w:hAnsi="ＭＳ 明朝" w:hint="eastAsia"/>
          <w:color w:val="000000"/>
          <w:spacing w:val="-37"/>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1122D8">
        <w:rPr>
          <w:rFonts w:hAnsi="ＭＳ 明朝" w:hint="eastAsia"/>
          <w:color w:val="000000"/>
          <w:spacing w:val="15"/>
          <w:szCs w:val="21"/>
          <w:fitText w:val="1337" w:id="-740462846"/>
        </w:rPr>
        <w:t>代表者職氏</w:t>
      </w:r>
      <w:r w:rsidRPr="001122D8">
        <w:rPr>
          <w:rFonts w:hAnsi="ＭＳ 明朝" w:hint="eastAsia"/>
          <w:color w:val="000000"/>
          <w:spacing w:val="-37"/>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1122D8">
        <w:rPr>
          <w:rFonts w:hAnsi="ＭＳ 明朝" w:hint="eastAsia"/>
          <w:color w:val="000000"/>
          <w:spacing w:val="75"/>
          <w:szCs w:val="21"/>
          <w:fitText w:val="1337" w:id="-740462592"/>
        </w:rPr>
        <w:t>電話番</w:t>
      </w:r>
      <w:r w:rsidRPr="001122D8">
        <w:rPr>
          <w:rFonts w:hAnsi="ＭＳ 明朝" w:hint="eastAsia"/>
          <w:color w:val="000000"/>
          <w:spacing w:val="22"/>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1122D8">
        <w:rPr>
          <w:rFonts w:hAnsi="ＭＳ 明朝" w:hint="eastAsia"/>
          <w:color w:val="000000" w:themeColor="text1"/>
          <w:spacing w:val="30"/>
          <w:szCs w:val="21"/>
          <w:fitText w:val="1337" w:id="-740462591"/>
        </w:rPr>
        <w:t>市登録</w:t>
      </w:r>
      <w:r w:rsidR="000E6C30" w:rsidRPr="001122D8">
        <w:rPr>
          <w:rFonts w:hAnsi="ＭＳ 明朝" w:hint="eastAsia"/>
          <w:color w:val="000000" w:themeColor="text1"/>
          <w:spacing w:val="30"/>
          <w:szCs w:val="21"/>
          <w:fitText w:val="1337" w:id="-740462591"/>
        </w:rPr>
        <w:t>番</w:t>
      </w:r>
      <w:r w:rsidR="000E6C30" w:rsidRPr="001122D8">
        <w:rPr>
          <w:rFonts w:hAnsi="ＭＳ 明朝" w:hint="eastAsia"/>
          <w:color w:val="000000" w:themeColor="text1"/>
          <w:spacing w:val="22"/>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7C2431D0"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1122D8">
        <w:rPr>
          <w:rFonts w:hAnsi="ＭＳ 明朝" w:hint="eastAsia"/>
          <w:color w:val="000000"/>
          <w:spacing w:val="30"/>
          <w:szCs w:val="21"/>
          <w:fitText w:val="955" w:id="-740461823"/>
        </w:rPr>
        <w:t>契約番</w:t>
      </w:r>
      <w:r w:rsidR="009856BE" w:rsidRPr="001122D8">
        <w:rPr>
          <w:rFonts w:hAnsi="ＭＳ 明朝" w:hint="eastAsia"/>
          <w:color w:val="000000"/>
          <w:spacing w:val="-37"/>
          <w:szCs w:val="21"/>
          <w:fitText w:val="955" w:id="-740461823"/>
        </w:rPr>
        <w:t>号</w:t>
      </w:r>
      <w:r w:rsidR="001122D8">
        <w:rPr>
          <w:rFonts w:hAnsi="ＭＳ 明朝" w:hint="eastAsia"/>
          <w:color w:val="000000"/>
          <w:spacing w:val="0"/>
          <w:szCs w:val="21"/>
        </w:rPr>
        <w:t xml:space="preserve">　　　　　</w:t>
      </w:r>
      <w:r w:rsidR="009856BE">
        <w:rPr>
          <w:rFonts w:hAnsi="ＭＳ 明朝" w:hint="eastAsia"/>
          <w:color w:val="000000"/>
          <w:spacing w:val="17"/>
          <w:szCs w:val="21"/>
        </w:rPr>
        <w:t>第</w:t>
      </w:r>
      <w:r w:rsidR="001122D8">
        <w:rPr>
          <w:rFonts w:hAnsi="ＭＳ 明朝" w:hint="eastAsia"/>
          <w:color w:val="000000"/>
          <w:spacing w:val="17"/>
          <w:szCs w:val="21"/>
        </w:rPr>
        <w:t>２０２５０００６５３</w:t>
      </w:r>
      <w:r w:rsidR="009856BE">
        <w:rPr>
          <w:rFonts w:hAnsi="ＭＳ 明朝" w:hint="eastAsia"/>
          <w:color w:val="000000"/>
          <w:spacing w:val="17"/>
          <w:szCs w:val="21"/>
        </w:rPr>
        <w:t>号</w:t>
      </w:r>
    </w:p>
    <w:p w14:paraId="3D771222" w14:textId="77777777" w:rsidR="00CA1C03" w:rsidRPr="001122D8" w:rsidRDefault="00CA1C03" w:rsidP="009856BE">
      <w:pPr>
        <w:spacing w:line="240" w:lineRule="auto"/>
        <w:rPr>
          <w:rFonts w:hAnsi="ＭＳ 明朝"/>
          <w:color w:val="000000"/>
          <w:spacing w:val="17"/>
          <w:szCs w:val="21"/>
        </w:rPr>
      </w:pPr>
    </w:p>
    <w:p w14:paraId="1BFF7167" w14:textId="46EA77A3" w:rsidR="00CA1C03" w:rsidRPr="001122D8"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9856BE" w:rsidRPr="001122D8">
        <w:rPr>
          <w:rFonts w:hAnsi="ＭＳ 明朝" w:hint="eastAsia"/>
          <w:color w:val="000000"/>
          <w:spacing w:val="267"/>
          <w:szCs w:val="21"/>
          <w:fitText w:val="955" w:id="-740461822"/>
        </w:rPr>
        <w:t>件</w:t>
      </w:r>
      <w:r w:rsidR="009856BE" w:rsidRPr="001122D8">
        <w:rPr>
          <w:rFonts w:hAnsi="ＭＳ 明朝" w:hint="eastAsia"/>
          <w:color w:val="000000"/>
          <w:spacing w:val="0"/>
          <w:szCs w:val="21"/>
          <w:fitText w:val="955" w:id="-740461822"/>
        </w:rPr>
        <w:t>名</w:t>
      </w:r>
      <w:r w:rsidR="001122D8">
        <w:rPr>
          <w:rFonts w:hAnsi="ＭＳ 明朝" w:hint="eastAsia"/>
          <w:color w:val="000000"/>
          <w:spacing w:val="0"/>
          <w:szCs w:val="21"/>
        </w:rPr>
        <w:t xml:space="preserve">　　　　　</w:t>
      </w:r>
      <w:r w:rsidR="001122D8" w:rsidRPr="001122D8">
        <w:rPr>
          <w:rFonts w:hAnsi="ＭＳ 明朝" w:hint="eastAsia"/>
          <w:color w:val="000000"/>
          <w:spacing w:val="17"/>
          <w:szCs w:val="21"/>
        </w:rPr>
        <w:t>郡山市麓山地区立体駐車場運営業務委託（長期継続契約）</w:t>
      </w:r>
    </w:p>
    <w:p w14:paraId="31AE4819" w14:textId="77777777" w:rsidR="00CA1C03" w:rsidRPr="009856BE" w:rsidRDefault="00CA1C03" w:rsidP="009856BE">
      <w:pPr>
        <w:spacing w:line="240" w:lineRule="auto"/>
        <w:rPr>
          <w:rFonts w:hAnsi="ＭＳ 明朝"/>
          <w:color w:val="000000"/>
          <w:spacing w:val="17"/>
          <w:szCs w:val="21"/>
        </w:rPr>
      </w:pPr>
    </w:p>
    <w:p w14:paraId="08DE47D8" w14:textId="77777777" w:rsidR="00CA1C03" w:rsidRPr="009856BE" w:rsidRDefault="00CA1C03" w:rsidP="009856BE">
      <w:pPr>
        <w:spacing w:line="240" w:lineRule="auto"/>
        <w:rPr>
          <w:rFonts w:hAnsi="ＭＳ 明朝"/>
          <w:color w:val="000000"/>
          <w:spacing w:val="17"/>
          <w:szCs w:val="21"/>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1433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0E6C30"/>
    <w:rsid w:val="00102952"/>
    <w:rsid w:val="001122D8"/>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33029"/>
    <w:rsid w:val="00534A36"/>
    <w:rsid w:val="00534CC3"/>
    <w:rsid w:val="005566FF"/>
    <w:rsid w:val="00583AE6"/>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8658E"/>
    <w:rsid w:val="00D86A4E"/>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883</Words>
  <Characters>118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2025-02-28T11:41:00Z</cp:lastPrinted>
  <dcterms:created xsi:type="dcterms:W3CDTF">2022-05-17T09:49:00Z</dcterms:created>
  <dcterms:modified xsi:type="dcterms:W3CDTF">2025-04-17T05:26:00Z</dcterms:modified>
</cp:coreProperties>
</file>