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3E2D024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9155F2">
        <w:rPr>
          <w:rFonts w:hAnsi="ＭＳ 明朝" w:hint="eastAsia"/>
          <w:color w:val="000000"/>
          <w:spacing w:val="17"/>
          <w:szCs w:val="21"/>
        </w:rPr>
        <w:t>２０２５００</w:t>
      </w:r>
      <w:r w:rsidR="00255FCD">
        <w:rPr>
          <w:rFonts w:hAnsi="ＭＳ 明朝" w:hint="eastAsia"/>
          <w:color w:val="000000"/>
          <w:spacing w:val="17"/>
          <w:szCs w:val="21"/>
        </w:rPr>
        <w:t>２５１４</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CFA86FA" w:rsidR="00CA1C03" w:rsidRPr="009856BE" w:rsidRDefault="00CA1C03" w:rsidP="009856BE">
      <w:pPr>
        <w:spacing w:line="240" w:lineRule="auto"/>
        <w:rPr>
          <w:rFonts w:hAnsi="ＭＳ 明朝" w:hint="eastAsia"/>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255FCD">
        <w:rPr>
          <w:rFonts w:hAnsi="ＭＳ 明朝" w:hint="eastAsia"/>
          <w:color w:val="000000"/>
          <w:spacing w:val="17"/>
          <w:szCs w:val="21"/>
        </w:rPr>
        <w:t>郡山ユラックス熱海屋外灯LED化修繕</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w:t>
      </w:r>
      <w:bookmarkStart w:id="0" w:name="_GoBack"/>
      <w:r w:rsidRPr="009856BE">
        <w:rPr>
          <w:rFonts w:hAnsi="ＭＳ 明朝" w:hint="eastAsia"/>
          <w:color w:val="000000"/>
          <w:spacing w:val="17"/>
          <w:szCs w:val="21"/>
        </w:rPr>
        <w:t>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w:t>
      </w:r>
      <w:bookmarkEnd w:id="0"/>
      <w:r w:rsidRPr="009856BE">
        <w:rPr>
          <w:rFonts w:hAnsi="ＭＳ 明朝" w:hint="eastAsia"/>
          <w:color w:val="000000"/>
          <w:spacing w:val="17"/>
          <w:szCs w:val="21"/>
        </w:rPr>
        <w:t>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5FCD"/>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155F2"/>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856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15</cp:revision>
  <cp:lastPrinted>2025-02-28T11:41:00Z</cp:lastPrinted>
  <dcterms:created xsi:type="dcterms:W3CDTF">2022-05-17T09:49:00Z</dcterms:created>
  <dcterms:modified xsi:type="dcterms:W3CDTF">2025-07-03T06:17:00Z</dcterms:modified>
</cp:coreProperties>
</file>