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D55DC9">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sidRPr="00D55DC9">
        <w:rPr>
          <w:rFonts w:ascii="ＭＳ ゴシック" w:eastAsia="ＭＳ ゴシック" w:hAnsi="ＭＳ ゴシック" w:hint="eastAsia"/>
          <w:color w:val="000000"/>
          <w:kern w:val="0"/>
        </w:rPr>
        <w:t>様式第２－</w:t>
      </w:r>
      <w:r w:rsidR="00731C32" w:rsidRPr="00731C32">
        <w:rPr>
          <w:rFonts w:ascii="ＭＳ ゴシック" w:eastAsia="ＭＳ ゴシック" w:hAnsi="ＭＳ ゴシック" w:hint="eastAsia"/>
          <w:color w:val="000000"/>
          <w:kern w:val="0"/>
        </w:rPr>
        <w:t>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8A7244">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w:t>
            </w:r>
            <w:bookmarkStart w:id="0" w:name="_GoBack"/>
            <w:bookmarkEnd w:id="0"/>
            <w:r w:rsidRPr="00D55DC9">
              <w:rPr>
                <w:rFonts w:ascii="ＭＳ ゴシック" w:eastAsia="ＭＳ ゴシック" w:hAnsi="ＭＳ ゴシック" w:cs="ＭＳ ゴシック" w:hint="eastAsia"/>
                <w:color w:val="000000"/>
                <w:kern w:val="0"/>
                <w:sz w:val="22"/>
              </w:rPr>
              <w:t>第５項第２号</w:t>
            </w:r>
          </w:p>
          <w:p w:rsidR="00D55DC9" w:rsidRPr="00D55DC9" w:rsidRDefault="0048184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731C32">
              <w:rPr>
                <w:rFonts w:ascii="ＭＳ ゴシック" w:eastAsia="ＭＳ ゴシック" w:hAnsi="ＭＳ ゴシック" w:cs="ＭＳ ゴシック" w:hint="eastAsia"/>
                <w:color w:val="000000"/>
                <w:kern w:val="0"/>
                <w:sz w:val="22"/>
              </w:rPr>
              <w:t>ロ</w:t>
            </w:r>
            <w:r>
              <w:rPr>
                <w:rFonts w:ascii="ＭＳ ゴシック" w:eastAsia="ＭＳ ゴシック" w:hAnsi="ＭＳ ゴシック" w:cs="ＭＳ ゴシック" w:hint="eastAsia"/>
                <w:color w:val="000000"/>
                <w:kern w:val="0"/>
                <w:sz w:val="22"/>
              </w:rPr>
              <w:t>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郡山市長</w:t>
            </w:r>
            <w:r w:rsidRPr="00BF0058">
              <w:rPr>
                <w:rFonts w:ascii="ＭＳ ゴシック" w:eastAsia="ＭＳ ゴシック" w:hAnsi="ＭＳ ゴシック" w:cs="ＭＳ ゴシック" w:hint="eastAsia"/>
                <w:color w:val="000000"/>
                <w:kern w:val="0"/>
                <w:sz w:val="22"/>
              </w:rPr>
              <w:t xml:space="preserve">　殿</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EB3266" w:rsidRPr="00BF0058">
              <w:rPr>
                <w:rFonts w:ascii="ＭＳ ゴシック" w:eastAsia="ＭＳ ゴシック" w:hAnsi="ＭＳ ゴシック" w:cs="ＭＳ ゴシック" w:hint="eastAsia"/>
                <w:color w:val="000000"/>
                <w:kern w:val="0"/>
                <w:sz w:val="22"/>
                <w:u w:val="single" w:color="000000"/>
              </w:rPr>
              <w:t>氏　名　（名称及び代表者の氏名）</w:t>
            </w:r>
            <w:r w:rsidR="00EB3266">
              <w:rPr>
                <w:rFonts w:ascii="ＭＳ ゴシック" w:eastAsia="ＭＳ ゴシック" w:hAnsi="ＭＳ ゴシック" w:cs="ＭＳ ゴシック" w:hint="eastAsia"/>
                <w:color w:val="000000"/>
                <w:kern w:val="0"/>
                <w:sz w:val="22"/>
                <w:u w:val="single" w:color="000000"/>
              </w:rPr>
              <w:t xml:space="preserve">　 </w:t>
            </w: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A56097" w:rsidRPr="00D55DC9">
              <w:rPr>
                <w:rFonts w:ascii="ＭＳ ゴシック" w:eastAsia="ＭＳ ゴシック" w:hAnsi="ＭＳ ゴシック" w:cs="ＭＳ ゴシック" w:hint="eastAsia"/>
                <w:color w:val="000000"/>
                <w:kern w:val="0"/>
                <w:sz w:val="22"/>
              </w:rPr>
              <w:t>私は</w:t>
            </w:r>
            <w:r w:rsidR="00A56097">
              <w:rPr>
                <w:rFonts w:ascii="ＭＳ ゴシック" w:eastAsia="ＭＳ ゴシック" w:hAnsi="ＭＳ ゴシック" w:cs="ＭＳ ゴシック" w:hint="eastAsia"/>
                <w:color w:val="000000"/>
                <w:kern w:val="0"/>
                <w:sz w:val="22"/>
              </w:rPr>
              <w:t>、</w:t>
            </w:r>
            <w:r w:rsidR="00A56097">
              <w:rPr>
                <w:rFonts w:ascii="ＭＳ ゴシック" w:eastAsia="ＭＳ ゴシック" w:hAnsi="ＭＳ ゴシック" w:cs="ＭＳ ゴシック" w:hint="eastAsia"/>
                <w:color w:val="000000"/>
                <w:kern w:val="0"/>
                <w:sz w:val="22"/>
                <w:u w:val="single"/>
              </w:rPr>
              <w:t xml:space="preserve">　　　　　　　　　　</w:t>
            </w:r>
            <w:r w:rsidR="00A56097" w:rsidRPr="00D55DC9">
              <w:rPr>
                <w:rFonts w:ascii="ＭＳ ゴシック" w:eastAsia="ＭＳ ゴシック" w:hAnsi="ＭＳ ゴシック" w:cs="ＭＳ ゴシック" w:hint="eastAsia"/>
                <w:color w:val="000000"/>
                <w:kern w:val="0"/>
                <w:sz w:val="22"/>
              </w:rPr>
              <w:t>が</w:t>
            </w:r>
            <w:r w:rsidR="00A56097">
              <w:rPr>
                <w:rFonts w:ascii="ＭＳ ゴシック" w:eastAsia="ＭＳ ゴシック" w:hAnsi="ＭＳ ゴシック" w:cs="ＭＳ ゴシック" w:hint="eastAsia"/>
                <w:color w:val="000000"/>
                <w:kern w:val="0"/>
                <w:sz w:val="22"/>
                <w:u w:val="single"/>
              </w:rPr>
              <w:t xml:space="preserve">　　　　</w:t>
            </w:r>
            <w:r w:rsidR="00A56097" w:rsidRPr="00D55DC9">
              <w:rPr>
                <w:rFonts w:ascii="ＭＳ ゴシック" w:eastAsia="ＭＳ ゴシック" w:hAnsi="ＭＳ ゴシック" w:cs="ＭＳ ゴシック" w:hint="eastAsia"/>
                <w:color w:val="000000"/>
                <w:kern w:val="0"/>
                <w:sz w:val="22"/>
              </w:rPr>
              <w:t>年</w:t>
            </w:r>
            <w:r w:rsidR="00A56097">
              <w:rPr>
                <w:rFonts w:ascii="ＭＳ ゴシック" w:eastAsia="ＭＳ ゴシック" w:hAnsi="ＭＳ ゴシック" w:cs="ＭＳ ゴシック" w:hint="eastAsia"/>
                <w:color w:val="000000"/>
                <w:kern w:val="0"/>
                <w:sz w:val="22"/>
                <w:u w:val="single"/>
              </w:rPr>
              <w:t xml:space="preserve">　　</w:t>
            </w:r>
            <w:r w:rsidR="00A56097" w:rsidRPr="00D55DC9">
              <w:rPr>
                <w:rFonts w:ascii="ＭＳ ゴシック" w:eastAsia="ＭＳ ゴシック" w:hAnsi="ＭＳ ゴシック" w:cs="ＭＳ ゴシック" w:hint="eastAsia"/>
                <w:color w:val="000000"/>
                <w:kern w:val="0"/>
                <w:sz w:val="22"/>
              </w:rPr>
              <w:t>月</w:t>
            </w:r>
            <w:r w:rsidR="00A56097" w:rsidRPr="001B78FE">
              <w:rPr>
                <w:rFonts w:ascii="ＭＳ ゴシック" w:eastAsia="ＭＳ ゴシック" w:hAnsi="ＭＳ ゴシック" w:cs="ＭＳ ゴシック" w:hint="eastAsia"/>
                <w:color w:val="000000"/>
                <w:kern w:val="0"/>
                <w:sz w:val="22"/>
                <w:u w:val="single"/>
              </w:rPr>
              <w:t xml:space="preserve">　　</w:t>
            </w:r>
            <w:r w:rsidR="00A56097" w:rsidRPr="00D55DC9">
              <w:rPr>
                <w:rFonts w:ascii="ＭＳ ゴシック" w:eastAsia="ＭＳ ゴシック" w:hAnsi="ＭＳ ゴシック" w:cs="ＭＳ ゴシック" w:hint="eastAsia"/>
                <w:color w:val="000000"/>
                <w:kern w:val="0"/>
                <w:sz w:val="22"/>
              </w:rPr>
              <w:t>日から</w:t>
            </w:r>
            <w:r w:rsidR="009C2DE2" w:rsidRPr="009C2DE2">
              <w:rPr>
                <w:rFonts w:ascii="ＭＳ ゴシック" w:eastAsia="ＭＳ ゴシック" w:hAnsi="ＭＳ ゴシック" w:cs="ＭＳ ゴシック" w:hint="eastAsia"/>
                <w:color w:val="000000"/>
                <w:kern w:val="0"/>
                <w:sz w:val="22"/>
                <w:u w:val="single"/>
              </w:rPr>
              <w:t>水産物の</w:t>
            </w:r>
            <w:r w:rsidR="00A56097">
              <w:rPr>
                <w:rFonts w:ascii="ＭＳ ゴシック" w:eastAsia="ＭＳ ゴシック" w:hAnsi="ＭＳ ゴシック" w:cs="ＭＳ ゴシック" w:hint="eastAsia"/>
                <w:color w:val="000000"/>
                <w:kern w:val="0"/>
                <w:sz w:val="22"/>
                <w:u w:val="single"/>
              </w:rPr>
              <w:t>輸入の制限</w:t>
            </w:r>
            <w:r w:rsidR="00A56097" w:rsidRPr="00D55DC9">
              <w:rPr>
                <w:rFonts w:ascii="ＭＳ ゴシック" w:eastAsia="ＭＳ ゴシック" w:hAnsi="ＭＳ ゴシック" w:cs="ＭＳ ゴシック" w:hint="eastAsia"/>
                <w:color w:val="000000"/>
                <w:kern w:val="0"/>
                <w:sz w:val="22"/>
              </w:rPr>
              <w:t>を行っていることにより</w:t>
            </w:r>
            <w:r w:rsidR="00A56097">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下記のとおり同事業者との間接的な取引の連鎖関係について売上高等の減少が生じているため</w:t>
            </w:r>
            <w:r w:rsidR="00953DF2">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経営の安定に支障が生じておりますので</w:t>
            </w:r>
            <w:r w:rsidR="00953DF2">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中小企業信用保険法第２条第５項第２号ロの規定に基づき認定されるようお願いします。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231DB7" w:rsidRDefault="00D55DC9" w:rsidP="008376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１　</w:t>
            </w:r>
            <w:r w:rsidR="00A56097">
              <w:rPr>
                <w:rFonts w:ascii="ＭＳ ゴシック" w:eastAsia="ＭＳ ゴシック" w:hAnsi="ＭＳ ゴシック" w:cs="ＭＳ ゴシック" w:hint="eastAsia"/>
                <w:color w:val="000000"/>
                <w:kern w:val="0"/>
                <w:sz w:val="22"/>
                <w:u w:val="single"/>
              </w:rPr>
              <w:t xml:space="preserve">　　　　　　　　　　</w:t>
            </w:r>
            <w:r w:rsidR="0083761E" w:rsidRPr="00D55DC9">
              <w:rPr>
                <w:rFonts w:ascii="ＭＳ ゴシック" w:eastAsia="ＭＳ ゴシック" w:hAnsi="ＭＳ ゴシック" w:cs="ＭＳ ゴシック" w:hint="eastAsia"/>
                <w:color w:val="000000"/>
                <w:kern w:val="0"/>
                <w:sz w:val="22"/>
              </w:rPr>
              <w:t>に対する取引依存度</w:t>
            </w:r>
          </w:p>
          <w:p w:rsidR="00481849" w:rsidRDefault="00231DB7" w:rsidP="006F1E59">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u w:val="single"/>
              </w:rPr>
            </w:pPr>
            <w:r w:rsidRPr="004D4C7F">
              <w:rPr>
                <w:rFonts w:ascii="ＭＳ ゴシック" w:eastAsia="ＭＳ ゴシック" w:hAnsi="ＭＳ ゴシック" w:cs="ＭＳ ゴシック" w:hint="eastAsia"/>
                <w:color w:val="000000"/>
                <w:kern w:val="0"/>
                <w:sz w:val="22"/>
              </w:rPr>
              <w:t>Ａ／Ｂ×100</w:t>
            </w:r>
            <w:r w:rsidR="00A56097">
              <w:rPr>
                <w:rFonts w:ascii="ＭＳ ゴシック" w:eastAsia="ＭＳ ゴシック" w:hAnsi="ＭＳ ゴシック" w:cs="ＭＳ ゴシック" w:hint="eastAsia"/>
                <w:color w:val="000000"/>
                <w:kern w:val="0"/>
                <w:sz w:val="22"/>
              </w:rPr>
              <w:t>（６か</w:t>
            </w:r>
            <w:r>
              <w:rPr>
                <w:rFonts w:ascii="ＭＳ ゴシック" w:eastAsia="ＭＳ ゴシック" w:hAnsi="ＭＳ ゴシック" w:cs="ＭＳ ゴシック" w:hint="eastAsia"/>
                <w:color w:val="000000"/>
                <w:kern w:val="0"/>
                <w:sz w:val="22"/>
              </w:rPr>
              <w:t>月又は12</w:t>
            </w:r>
            <w:r w:rsidR="00A56097">
              <w:rPr>
                <w:rFonts w:ascii="ＭＳ ゴシック" w:eastAsia="ＭＳ ゴシック" w:hAnsi="ＭＳ ゴシック" w:cs="ＭＳ ゴシック" w:hint="eastAsia"/>
                <w:color w:val="000000"/>
                <w:kern w:val="0"/>
                <w:sz w:val="22"/>
              </w:rPr>
              <w:t>か</w:t>
            </w:r>
            <w:r>
              <w:rPr>
                <w:rFonts w:ascii="ＭＳ ゴシック" w:eastAsia="ＭＳ ゴシック" w:hAnsi="ＭＳ ゴシック" w:cs="ＭＳ ゴシック" w:hint="eastAsia"/>
                <w:color w:val="000000"/>
                <w:kern w:val="0"/>
                <w:sz w:val="22"/>
              </w:rPr>
              <w:t xml:space="preserve">月）　　　　　　　　　　 </w:t>
            </w:r>
            <w:r w:rsidRPr="00481849">
              <w:rPr>
                <w:rFonts w:ascii="ＭＳ ゴシック" w:eastAsia="ＭＳ ゴシック" w:hAnsi="ＭＳ ゴシック" w:cs="ＭＳ ゴシック" w:hint="eastAsia"/>
                <w:color w:val="000000"/>
                <w:kern w:val="0"/>
                <w:sz w:val="22"/>
                <w:u w:val="single"/>
              </w:rPr>
              <w:t>依存度</w:t>
            </w:r>
            <w:r w:rsidRPr="00D55DC9">
              <w:rPr>
                <w:rFonts w:ascii="ＭＳ ゴシック" w:eastAsia="ＭＳ ゴシック" w:hAnsi="ＭＳ ゴシック" w:cs="ＭＳ ゴシック" w:hint="eastAsia"/>
                <w:color w:val="000000"/>
                <w:kern w:val="0"/>
                <w:sz w:val="22"/>
                <w:u w:val="single"/>
              </w:rPr>
              <w:t xml:space="preserve">　　</w:t>
            </w:r>
            <w:r>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u w:val="single"/>
              </w:rPr>
              <w:t xml:space="preserve">　％</w:t>
            </w:r>
          </w:p>
          <w:p w:rsidR="00A56097" w:rsidRPr="00481849" w:rsidRDefault="00A56097"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A56097" w:rsidRDefault="00D55DC9"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Ａ　</w:t>
            </w:r>
            <w:r w:rsidR="00953DF2" w:rsidRPr="001C5A1A">
              <w:rPr>
                <w:rFonts w:ascii="ＭＳ ゴシック" w:eastAsia="ＭＳ ゴシック" w:hAnsi="ＭＳ ゴシック" w:cs="ＭＳ ゴシック" w:hint="eastAsia"/>
                <w:color w:val="000000"/>
                <w:kern w:val="0"/>
                <w:sz w:val="22"/>
                <w:u w:val="single"/>
              </w:rPr>
              <w:t xml:space="preserve">　　</w:t>
            </w:r>
            <w:r w:rsidR="00A56097">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年</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月</w:t>
            </w:r>
            <w:r w:rsidR="00953DF2" w:rsidRPr="001C5A1A">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rPr>
              <w:t>日から</w:t>
            </w:r>
            <w:r w:rsidR="00953DF2" w:rsidRPr="001C5A1A">
              <w:rPr>
                <w:rFonts w:ascii="ＭＳ ゴシック" w:eastAsia="ＭＳ ゴシック" w:hAnsi="ＭＳ ゴシック" w:cs="ＭＳ ゴシック" w:hint="eastAsia"/>
                <w:color w:val="000000"/>
                <w:kern w:val="0"/>
                <w:sz w:val="22"/>
                <w:u w:val="single"/>
              </w:rPr>
              <w:t xml:space="preserve">　</w:t>
            </w:r>
            <w:r w:rsidR="00A56097">
              <w:rPr>
                <w:rFonts w:ascii="ＭＳ ゴシック" w:eastAsia="ＭＳ ゴシック" w:hAnsi="ＭＳ ゴシック" w:cs="ＭＳ ゴシック" w:hint="eastAsia"/>
                <w:color w:val="000000"/>
                <w:kern w:val="0"/>
                <w:sz w:val="22"/>
                <w:u w:val="single"/>
              </w:rPr>
              <w:t xml:space="preserve">　　</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年</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月</w:t>
            </w:r>
            <w:r w:rsidR="00953DF2" w:rsidRPr="001C5A1A">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rPr>
              <w:t>日</w:t>
            </w:r>
            <w:r w:rsidRPr="00D55DC9">
              <w:rPr>
                <w:rFonts w:ascii="ＭＳ ゴシック" w:eastAsia="ＭＳ ゴシック" w:hAnsi="ＭＳ ゴシック" w:cs="ＭＳ ゴシック" w:hint="eastAsia"/>
                <w:color w:val="000000"/>
                <w:kern w:val="0"/>
                <w:sz w:val="22"/>
              </w:rPr>
              <w:t>までの</w:t>
            </w:r>
            <w:r w:rsidR="00A56097">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に</w:t>
            </w:r>
          </w:p>
          <w:p w:rsidR="00A56097" w:rsidRDefault="00A56097"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953DF2" w:rsidRDefault="00731C32" w:rsidP="00A56097">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関連する</w:t>
            </w:r>
            <w:r w:rsidR="00953DF2">
              <w:rPr>
                <w:rFonts w:ascii="ＭＳ ゴシック" w:eastAsia="ＭＳ ゴシック" w:hAnsi="ＭＳ ゴシック" w:cs="ＭＳ ゴシック" w:hint="eastAsia"/>
                <w:color w:val="000000"/>
                <w:kern w:val="0"/>
                <w:sz w:val="22"/>
              </w:rPr>
              <w:t xml:space="preserve">取引額等　　</w:t>
            </w:r>
            <w:r w:rsidR="00A56097">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Ｂ　上記期間中の全取引額等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２　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(イ)</w:t>
            </w:r>
            <w:r w:rsidR="00A56097">
              <w:rPr>
                <w:rFonts w:ascii="ＭＳ ゴシック" w:eastAsia="ＭＳ ゴシック" w:hAnsi="ＭＳ ゴシック" w:cs="ＭＳ ゴシック" w:hint="eastAsia"/>
                <w:color w:val="000000"/>
                <w:kern w:val="0"/>
                <w:sz w:val="22"/>
              </w:rPr>
              <w:t xml:space="preserve">　最近１か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52705</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05.5pt;margin-top:4.15pt;width:4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3iBQPgAAAACAEAAA8AAABkcnMvZG93bnJldi54&#10;bWxMj8FOwzAQRO9I/IO1SNyok7ahUcimQogKiQMVpRdubrwkofE6jd3W/XvMCY6jGc28KZfB9OJE&#10;o+ssI6STBARxbXXHDcL2Y3WXg3BesVa9ZUK4kINldX1VqkLbM7/TaeMbEUvYFQqh9X4opHR1S0a5&#10;iR2Io/dlR6N8lGMj9ajOsdz0cpok99KojuNCqwZ6aqneb44GYf02X4X6M92vF9nhmV7C6/eFDoi3&#10;N+HxAYSn4P/C8Isf0aGKTDt7ZO1EjzBN0/jFI+QzENGfJVkGYocwz3KQVSn/H6h+AAAA//8DAFBL&#10;AQItABQABgAIAAAAIQC2gziS/gAAAOEBAAATAAAAAAAAAAAAAAAAAAAAAABbQ29udGVudF9UeXBl&#10;c10ueG1sUEsBAi0AFAAGAAgAAAAhADj9If/WAAAAlAEAAAsAAAAAAAAAAAAAAAAALwEAAF9yZWxz&#10;Ly5yZWxzUEsBAi0AFAAGAAgAAAAhAD+52CYoAgAAFQQAAA4AAAAAAAAAAAAAAAAALgIAAGRycy9l&#10;Mm9Eb2MueG1sUEsBAi0AFAAGAAgAAAAhAK3iBQPgAAAACAEAAA8AAAAAAAAAAAAAAAAAggQAAGRy&#10;cy9kb3ducmV2LnhtbFBLBQYAAAAABAAEAPMAAACPBQAAAAA=&#10;" stroked="f">
                      <v:fill opacity="0"/>
                      <v:textbox inset="5.85pt,.7pt,5.85pt,.7pt">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Ｄ－Ｃ　</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減少率　　　　　　％（実績）</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31C3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Ｃ：事業活動の制限を受けた後</w:t>
            </w:r>
            <w:r w:rsidR="00F555F1">
              <w:rPr>
                <w:rFonts w:ascii="ＭＳ ゴシック" w:eastAsia="ＭＳ ゴシック" w:hAnsi="ＭＳ ゴシック" w:cs="ＭＳ ゴシック" w:hint="eastAsia"/>
                <w:color w:val="000000"/>
                <w:kern w:val="0"/>
                <w:sz w:val="22"/>
              </w:rPr>
              <w:t>の</w:t>
            </w:r>
            <w:r w:rsidR="00D55DC9" w:rsidRPr="00D55DC9">
              <w:rPr>
                <w:rFonts w:ascii="ＭＳ ゴシック" w:eastAsia="ＭＳ ゴシック" w:hAnsi="ＭＳ ゴシック" w:cs="ＭＳ ゴシック" w:hint="eastAsia"/>
                <w:color w:val="000000"/>
                <w:kern w:val="0"/>
                <w:sz w:val="22"/>
              </w:rPr>
              <w:t>１</w:t>
            </w:r>
            <w:r w:rsidR="00A56097">
              <w:rPr>
                <w:rFonts w:ascii="ＭＳ ゴシック" w:eastAsia="ＭＳ ゴシック" w:hAnsi="ＭＳ ゴシック" w:cs="ＭＳ ゴシック" w:hint="eastAsia"/>
                <w:color w:val="000000"/>
                <w:kern w:val="0"/>
                <w:sz w:val="22"/>
              </w:rPr>
              <w:t>か</w:t>
            </w:r>
            <w:r w:rsidR="00D55DC9" w:rsidRPr="00D55DC9">
              <w:rPr>
                <w:rFonts w:ascii="ＭＳ ゴシック" w:eastAsia="ＭＳ ゴシック" w:hAnsi="ＭＳ ゴシック" w:cs="ＭＳ ゴシック" w:hint="eastAsia"/>
                <w:color w:val="000000"/>
                <w:kern w:val="0"/>
                <w:sz w:val="22"/>
              </w:rPr>
              <w:t>月間の売上高等</w:t>
            </w:r>
            <w:r w:rsidR="00F555F1">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Ｄ：Ｃの期間に対応する前年１</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 xml:space="preserve">月間の売上高等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(ロ)　(イ)の期間も含めた今後３</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2174875</wp:posOffset>
                      </wp:positionH>
                      <wp:positionV relativeFrom="paragraph">
                        <wp:posOffset>40005</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171.25pt;margin-top:3.15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cJ8PMuAAAAAIAQAADwAAAGRycy9kb3ducmV2&#10;LnhtbEyPzU7DMBCE70i8g7VI3KjTJv1RiFMhRIXEgYrChZsbL0lovE5jt3Xfnu2J3nY0o9lvimW0&#10;nTji4FtHCsajBARS5UxLtYKvz9XDAoQPmozuHKGCM3pYlrc3hc6NO9EHHjehFlxCPtcKmhD6XEpf&#10;NWi1H7keib0fN1gdWA61NIM+cbnt5CRJZtLqlvhDo3t8brDabQ5Wwfo9W8Xqe7xbz6f7F3yNb79n&#10;3Ct1fxefHkEEjOE/DBd8RoeSmbbuQMaLTkGaTaYcVTBLQbCfpXPetr0cC5BlIa8HlH8AAAD//wMA&#10;UEsBAi0AFAAGAAgAAAAhALaDOJL+AAAA4QEAABMAAAAAAAAAAAAAAAAAAAAAAFtDb250ZW50X1R5&#10;cGVzXS54bWxQSwECLQAUAAYACAAAACEAOP0h/9YAAACUAQAACwAAAAAAAAAAAAAAAAAvAQAAX3Jl&#10;bHMvLnJlbHNQSwECLQAUAAYACAAAACEAP23yOyoCAAAcBAAADgAAAAAAAAAAAAAAAAAuAgAAZHJz&#10;L2Uyb0RvYy54bWxQSwECLQAUAAYACAAAACEAcJ8PMuAAAAAIAQAADwAAAAAAAAAAAAAAAACEBAAA&#10;ZHJzL2Rvd25yZXYueG1sUEsFBgAAAAAEAAQA8wAAAJEFAAAAAA==&#10;" stroked="f">
                      <v:fill opacity="0"/>
                      <v:textbox inset="5.85pt,.7pt,5.85pt,.7pt">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（Ｄ＋Ｆ）－（Ｃ＋Ｅ）</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Ｄ＋Ｆ　　　　　　　　　　</w:t>
            </w:r>
            <w:r w:rsidR="00953DF2">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u w:val="single"/>
              </w:rPr>
              <w:t xml:space="preserve">減少率　</w:t>
            </w:r>
            <w:r w:rsidRPr="00D55DC9">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u w:val="single"/>
              </w:rPr>
              <w:t>（実績</w:t>
            </w:r>
            <w:r w:rsidR="00953DF2">
              <w:rPr>
                <w:rFonts w:ascii="ＭＳ ゴシック" w:eastAsia="ＭＳ ゴシック" w:hAnsi="ＭＳ ゴシック" w:cs="ＭＳ ゴシック" w:hint="eastAsia"/>
                <w:color w:val="000000"/>
                <w:kern w:val="0"/>
                <w:sz w:val="22"/>
                <w:u w:val="single"/>
              </w:rPr>
              <w:t>見込</w:t>
            </w:r>
            <w:r w:rsidR="00A56097">
              <w:rPr>
                <w:rFonts w:ascii="ＭＳ ゴシック" w:eastAsia="ＭＳ ゴシック" w:hAnsi="ＭＳ ゴシック" w:cs="ＭＳ ゴシック" w:hint="eastAsia"/>
                <w:color w:val="000000"/>
                <w:kern w:val="0"/>
                <w:sz w:val="22"/>
                <w:u w:val="single"/>
              </w:rPr>
              <w:t>み</w:t>
            </w:r>
            <w:r w:rsidR="00953DF2" w:rsidRPr="00D55DC9">
              <w:rPr>
                <w:rFonts w:ascii="ＭＳ ゴシック" w:eastAsia="ＭＳ ゴシック" w:hAnsi="ＭＳ ゴシック" w:cs="ＭＳ ゴシック" w:hint="eastAsia"/>
                <w:color w:val="000000"/>
                <w:kern w:val="0"/>
                <w:sz w:val="22"/>
                <w:u w:val="single"/>
              </w:rPr>
              <w:t>）</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A56097"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Ｅ：Ｃの期間後２か</w:t>
            </w:r>
            <w:r w:rsidR="00D55DC9" w:rsidRPr="00D55DC9">
              <w:rPr>
                <w:rFonts w:ascii="ＭＳ ゴシック" w:eastAsia="ＭＳ ゴシック" w:hAnsi="ＭＳ ゴシック" w:cs="ＭＳ ゴシック" w:hint="eastAsia"/>
                <w:color w:val="000000"/>
                <w:kern w:val="0"/>
                <w:sz w:val="22"/>
              </w:rPr>
              <w:t xml:space="preserve">月間の見込み売上高等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A560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Ｆ：Ｅの期間に対応する前年の２</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 xml:space="preserve">月間の売上高等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tc>
      </w:tr>
    </w:tbl>
    <w:p w:rsidR="00C35FF6" w:rsidRPr="00BF0058"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（留意事項）</w:t>
      </w:r>
    </w:p>
    <w:p w:rsidR="00C35FF6" w:rsidRPr="00BF0058"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①　本認定とは別に、金融機関及び信用保証協会による金融上の審査があります。</w:t>
      </w:r>
    </w:p>
    <w:p w:rsidR="00C35FF6" w:rsidRDefault="00C35FF6" w:rsidP="00B66AF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②　市町村長又は特別区長から認定を受けた後、本認定の有効期間内に金融機関又は信用</w:t>
      </w:r>
      <w:r w:rsidR="00D83B73">
        <w:rPr>
          <w:rFonts w:ascii="ＭＳ ゴシック" w:eastAsia="ＭＳ ゴシック" w:hAnsi="ＭＳ ゴシック" w:cs="ＭＳ ゴシック" w:hint="eastAsia"/>
          <w:color w:val="000000"/>
          <w:kern w:val="0"/>
          <w:sz w:val="22"/>
        </w:rPr>
        <w:t>保証協会に対して、経営安定関連保証の申込みを行うことが必要です。</w:t>
      </w: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4E5AA0" w:rsidRPr="00D55DC9"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4E5AA0" w:rsidRPr="00D55DC9"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Default="004E5AA0" w:rsidP="00D55DC9">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4E5AA0" w:rsidRPr="004E5AA0" w:rsidRDefault="004E5AA0" w:rsidP="00176469">
      <w:pPr>
        <w:suppressAutoHyphens/>
        <w:wordWrap w:val="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731C32" w:rsidRPr="004E5AA0" w:rsidRDefault="00731C32" w:rsidP="0017646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Pr="00BF0058"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認定者名　　郡山市長　　品　川　萬　里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44E"/>
    <w:rsid w:val="0009372B"/>
    <w:rsid w:val="000C030F"/>
    <w:rsid w:val="000C69A3"/>
    <w:rsid w:val="000E0E45"/>
    <w:rsid w:val="000F41FB"/>
    <w:rsid w:val="00154A51"/>
    <w:rsid w:val="0016326B"/>
    <w:rsid w:val="00176469"/>
    <w:rsid w:val="00194C42"/>
    <w:rsid w:val="001A55E4"/>
    <w:rsid w:val="001B51EF"/>
    <w:rsid w:val="001B5DAA"/>
    <w:rsid w:val="001D0690"/>
    <w:rsid w:val="001D1612"/>
    <w:rsid w:val="001D602D"/>
    <w:rsid w:val="001E190C"/>
    <w:rsid w:val="001E1FB4"/>
    <w:rsid w:val="001E6BA4"/>
    <w:rsid w:val="00206A47"/>
    <w:rsid w:val="0022395E"/>
    <w:rsid w:val="00231DB7"/>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1849"/>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1E59"/>
    <w:rsid w:val="006F311F"/>
    <w:rsid w:val="006F3819"/>
    <w:rsid w:val="0070340C"/>
    <w:rsid w:val="00712D50"/>
    <w:rsid w:val="00731C32"/>
    <w:rsid w:val="007434FC"/>
    <w:rsid w:val="00746C3A"/>
    <w:rsid w:val="00762DFA"/>
    <w:rsid w:val="00790309"/>
    <w:rsid w:val="007A4915"/>
    <w:rsid w:val="007A49A0"/>
    <w:rsid w:val="007E46CE"/>
    <w:rsid w:val="007E6442"/>
    <w:rsid w:val="007F60C5"/>
    <w:rsid w:val="0083761E"/>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3DF2"/>
    <w:rsid w:val="00955880"/>
    <w:rsid w:val="00965F5B"/>
    <w:rsid w:val="00980DA3"/>
    <w:rsid w:val="00985FA3"/>
    <w:rsid w:val="00986994"/>
    <w:rsid w:val="00997886"/>
    <w:rsid w:val="009A71A9"/>
    <w:rsid w:val="009B1C58"/>
    <w:rsid w:val="009C1898"/>
    <w:rsid w:val="009C2DE2"/>
    <w:rsid w:val="009C7C95"/>
    <w:rsid w:val="009F202F"/>
    <w:rsid w:val="009F35F4"/>
    <w:rsid w:val="00A02900"/>
    <w:rsid w:val="00A15655"/>
    <w:rsid w:val="00A34611"/>
    <w:rsid w:val="00A56097"/>
    <w:rsid w:val="00A57418"/>
    <w:rsid w:val="00A607F4"/>
    <w:rsid w:val="00A830D4"/>
    <w:rsid w:val="00A8454D"/>
    <w:rsid w:val="00A84F0E"/>
    <w:rsid w:val="00A87E6D"/>
    <w:rsid w:val="00AE2F39"/>
    <w:rsid w:val="00AE4572"/>
    <w:rsid w:val="00AE4E53"/>
    <w:rsid w:val="00AF2BF0"/>
    <w:rsid w:val="00B07FA6"/>
    <w:rsid w:val="00B649D8"/>
    <w:rsid w:val="00B66AFB"/>
    <w:rsid w:val="00B67566"/>
    <w:rsid w:val="00BA3917"/>
    <w:rsid w:val="00BB1F09"/>
    <w:rsid w:val="00BE5556"/>
    <w:rsid w:val="00BF0058"/>
    <w:rsid w:val="00BF3A4B"/>
    <w:rsid w:val="00C018DD"/>
    <w:rsid w:val="00C118A8"/>
    <w:rsid w:val="00C26E97"/>
    <w:rsid w:val="00C35FF6"/>
    <w:rsid w:val="00C42ADE"/>
    <w:rsid w:val="00C440AD"/>
    <w:rsid w:val="00C459FB"/>
    <w:rsid w:val="00C57AD0"/>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5DC9"/>
    <w:rsid w:val="00D83B73"/>
    <w:rsid w:val="00D840FB"/>
    <w:rsid w:val="00D861E3"/>
    <w:rsid w:val="00D87AD8"/>
    <w:rsid w:val="00D96B4C"/>
    <w:rsid w:val="00DD7720"/>
    <w:rsid w:val="00DE5FF6"/>
    <w:rsid w:val="00DF164D"/>
    <w:rsid w:val="00E04ED9"/>
    <w:rsid w:val="00E40FF3"/>
    <w:rsid w:val="00E62F61"/>
    <w:rsid w:val="00E65973"/>
    <w:rsid w:val="00E9118A"/>
    <w:rsid w:val="00EA587B"/>
    <w:rsid w:val="00EB3266"/>
    <w:rsid w:val="00EC514E"/>
    <w:rsid w:val="00ED24EA"/>
    <w:rsid w:val="00ED5193"/>
    <w:rsid w:val="00ED53D5"/>
    <w:rsid w:val="00EE40DA"/>
    <w:rsid w:val="00EF1F6C"/>
    <w:rsid w:val="00EF7F25"/>
    <w:rsid w:val="00F00AAB"/>
    <w:rsid w:val="00F30A0D"/>
    <w:rsid w:val="00F555F1"/>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2019-10-25T03:28:00Z</dcterms:created>
  <dcterms:modified xsi:type="dcterms:W3CDTF">2023-11-21T06:43:00Z</dcterms:modified>
</cp:coreProperties>
</file>