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5570B6">
        <w:rPr>
          <w:rFonts w:hAnsi="ＭＳ 明朝" w:hint="eastAsia"/>
          <w:color w:val="000000"/>
          <w:spacing w:val="177"/>
          <w:szCs w:val="21"/>
          <w:fitText w:val="1337" w:id="-740462848"/>
        </w:rPr>
        <w:t>所在</w:t>
      </w:r>
      <w:r w:rsidRPr="005570B6">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5570B6">
        <w:rPr>
          <w:rFonts w:hAnsi="ＭＳ 明朝" w:hint="eastAsia"/>
          <w:color w:val="000000"/>
          <w:spacing w:val="15"/>
          <w:w w:val="94"/>
          <w:szCs w:val="21"/>
          <w:fitText w:val="1337" w:id="-740462847"/>
        </w:rPr>
        <w:t>商号又は名</w:t>
      </w:r>
      <w:r w:rsidRPr="005570B6">
        <w:rPr>
          <w:rFonts w:hAnsi="ＭＳ 明朝" w:hint="eastAsia"/>
          <w:color w:val="000000"/>
          <w:spacing w:val="3"/>
          <w:w w:val="94"/>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5570B6">
        <w:rPr>
          <w:rFonts w:hAnsi="ＭＳ 明朝" w:hint="eastAsia"/>
          <w:color w:val="000000"/>
          <w:spacing w:val="15"/>
          <w:w w:val="94"/>
          <w:szCs w:val="21"/>
          <w:fitText w:val="1337" w:id="-740462846"/>
        </w:rPr>
        <w:t>代表者職氏</w:t>
      </w:r>
      <w:r w:rsidRPr="005570B6">
        <w:rPr>
          <w:rFonts w:hAnsi="ＭＳ 明朝" w:hint="eastAsia"/>
          <w:color w:val="000000"/>
          <w:spacing w:val="3"/>
          <w:w w:val="94"/>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5570B6">
        <w:rPr>
          <w:rFonts w:hAnsi="ＭＳ 明朝" w:hint="eastAsia"/>
          <w:color w:val="000000"/>
          <w:spacing w:val="83"/>
          <w:szCs w:val="21"/>
          <w:fitText w:val="1337" w:id="-740462592"/>
        </w:rPr>
        <w:t>電話番</w:t>
      </w:r>
      <w:r w:rsidRPr="005570B6">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5570B6">
        <w:rPr>
          <w:rFonts w:hAnsi="ＭＳ 明朝" w:hint="eastAsia"/>
          <w:color w:val="000000" w:themeColor="text1"/>
          <w:spacing w:val="36"/>
          <w:szCs w:val="21"/>
          <w:fitText w:val="1337" w:id="-740462591"/>
        </w:rPr>
        <w:t>市登録</w:t>
      </w:r>
      <w:r w:rsidR="000E6C30" w:rsidRPr="005570B6">
        <w:rPr>
          <w:rFonts w:hAnsi="ＭＳ 明朝" w:hint="eastAsia"/>
          <w:color w:val="000000" w:themeColor="text1"/>
          <w:spacing w:val="36"/>
          <w:szCs w:val="21"/>
          <w:fitText w:val="1337" w:id="-740462591"/>
        </w:rPr>
        <w:t>番</w:t>
      </w:r>
      <w:r w:rsidR="000E6C30" w:rsidRPr="005570B6">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5570B6">
        <w:rPr>
          <w:rFonts w:hAnsi="ＭＳ 明朝" w:hint="eastAsia"/>
          <w:color w:val="000000"/>
          <w:spacing w:val="19"/>
          <w:szCs w:val="21"/>
          <w:fitText w:val="955" w:id="-740461823"/>
        </w:rPr>
        <w:t>契約番</w:t>
      </w:r>
      <w:r w:rsidR="009856BE" w:rsidRPr="005570B6">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4AC328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5570B6">
        <w:rPr>
          <w:rFonts w:hAnsi="ＭＳ 明朝" w:hint="eastAsia"/>
          <w:color w:val="000000"/>
          <w:spacing w:val="267"/>
          <w:szCs w:val="21"/>
          <w:fitText w:val="955" w:id="-740461822"/>
        </w:rPr>
        <w:t>件</w:t>
      </w:r>
      <w:r w:rsidR="009856BE" w:rsidRPr="005570B6">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p>
    <w:p w14:paraId="0D8DF791" w14:textId="77777777" w:rsidR="00B93F99" w:rsidRPr="009856BE" w:rsidRDefault="00B93F99" w:rsidP="00B93F99">
      <w:pPr>
        <w:spacing w:line="240" w:lineRule="auto"/>
        <w:rPr>
          <w:rFonts w:hAnsi="ＭＳ 明朝"/>
          <w:color w:val="000000"/>
          <w:spacing w:val="17"/>
          <w:szCs w:val="21"/>
        </w:rPr>
      </w:pPr>
    </w:p>
    <w:p w14:paraId="1A5F1E37" w14:textId="77777777" w:rsidR="00B93F99" w:rsidRPr="00762B63" w:rsidRDefault="00B93F99" w:rsidP="00B93F99">
      <w:pPr>
        <w:wordWrap w:val="0"/>
        <w:snapToGrid w:val="0"/>
        <w:spacing w:line="255" w:lineRule="exact"/>
        <w:rPr>
          <w:color w:val="000000"/>
          <w:spacing w:val="17"/>
          <w:szCs w:val="22"/>
        </w:rPr>
      </w:pPr>
      <w:r w:rsidRPr="00762B63">
        <w:rPr>
          <w:color w:val="000000"/>
          <w:spacing w:val="17"/>
          <w:szCs w:val="22"/>
        </w:rPr>
        <w:t>３　添付書類</w:t>
      </w:r>
    </w:p>
    <w:p w14:paraId="4E16E1B9" w14:textId="087E5DA2" w:rsidR="00B93F99" w:rsidRPr="00B93F99" w:rsidRDefault="005570B6" w:rsidP="005570B6">
      <w:pPr>
        <w:pStyle w:val="af0"/>
        <w:numPr>
          <w:ilvl w:val="0"/>
          <w:numId w:val="1"/>
        </w:numPr>
        <w:wordWrap w:val="0"/>
        <w:snapToGrid w:val="0"/>
        <w:spacing w:line="255" w:lineRule="exact"/>
        <w:ind w:leftChars="0"/>
        <w:rPr>
          <w:spacing w:val="17"/>
          <w:szCs w:val="22"/>
        </w:rPr>
      </w:pPr>
      <w:r w:rsidRPr="005570B6">
        <w:rPr>
          <w:rFonts w:hint="eastAsia"/>
          <w:spacing w:val="17"/>
          <w:szCs w:val="22"/>
        </w:rPr>
        <w:t>制限付一般競争入札参加資格に係る申告調書</w:t>
      </w:r>
    </w:p>
    <w:p w14:paraId="5EDE4375" w14:textId="30E4FE86" w:rsidR="00B93F99" w:rsidRPr="00B93F99" w:rsidRDefault="005570B6" w:rsidP="005570B6">
      <w:pPr>
        <w:pStyle w:val="af0"/>
        <w:numPr>
          <w:ilvl w:val="0"/>
          <w:numId w:val="1"/>
        </w:numPr>
        <w:wordWrap w:val="0"/>
        <w:snapToGrid w:val="0"/>
        <w:spacing w:line="255" w:lineRule="exact"/>
        <w:ind w:leftChars="0"/>
        <w:rPr>
          <w:spacing w:val="17"/>
          <w:szCs w:val="22"/>
        </w:rPr>
      </w:pPr>
      <w:r w:rsidRPr="005570B6">
        <w:rPr>
          <w:rFonts w:hint="eastAsia"/>
          <w:spacing w:val="17"/>
          <w:szCs w:val="22"/>
        </w:rPr>
        <w:t>国土交通省における点検支援技術性能カタログ（令和７年４月時点）の技術概要【舗装（ひび割れ率・わだち掘れ量・IRI）】において、実道試験結果（舗装）のひび割れ率又はわだち掘れ量、IRIのいずれかのⅡ以上検出率及びⅡ以上的中率が90～100</w:t>
      </w:r>
      <w:r>
        <w:rPr>
          <w:rFonts w:hint="eastAsia"/>
          <w:spacing w:val="17"/>
          <w:szCs w:val="22"/>
        </w:rPr>
        <w:t>％であることが証明できる資料</w:t>
      </w:r>
    </w:p>
    <w:p w14:paraId="53FB2681" w14:textId="77777777" w:rsidR="00B93F99" w:rsidRPr="00F1499E" w:rsidRDefault="00B93F99" w:rsidP="00B93F99">
      <w:pPr>
        <w:wordWrap w:val="0"/>
        <w:snapToGrid w:val="0"/>
        <w:spacing w:line="255" w:lineRule="exact"/>
        <w:rPr>
          <w:color w:val="000000"/>
          <w:spacing w:val="17"/>
        </w:rPr>
      </w:pPr>
    </w:p>
    <w:p w14:paraId="6500F7D4" w14:textId="77777777" w:rsidR="00B93F99" w:rsidRDefault="00B93F99" w:rsidP="00B93F99">
      <w:pPr>
        <w:wordWrap w:val="0"/>
        <w:snapToGrid w:val="0"/>
        <w:spacing w:line="255" w:lineRule="exact"/>
        <w:rPr>
          <w:color w:val="000000"/>
          <w:spacing w:val="17"/>
        </w:rPr>
      </w:pPr>
      <w:r>
        <w:rPr>
          <w:color w:val="000000"/>
          <w:spacing w:val="17"/>
        </w:rPr>
        <w:t>入札に参加できる者の資格については、次のとおりです。</w:t>
      </w:r>
    </w:p>
    <w:p w14:paraId="71307F77" w14:textId="77777777" w:rsidR="00B93F99" w:rsidRPr="0027314E" w:rsidRDefault="00B93F99" w:rsidP="00B93F99">
      <w:pPr>
        <w:widowControl/>
        <w:autoSpaceDE/>
        <w:autoSpaceDN/>
        <w:spacing w:line="240" w:lineRule="auto"/>
        <w:jc w:val="left"/>
        <w:rPr>
          <w:rFonts w:hAnsi="ＭＳ 明朝" w:cs="ＭＳ 明朝"/>
          <w:color w:val="000000"/>
          <w:spacing w:val="17"/>
        </w:rPr>
      </w:pPr>
      <w:r>
        <w:rPr>
          <w:rFonts w:hAnsi="ＭＳ 明朝" w:cs="ＭＳ 明朝"/>
          <w:color w:val="000000"/>
          <w:spacing w:val="17"/>
        </w:rPr>
        <w:t>全項目について「はい</w:t>
      </w:r>
      <w:r>
        <w:rPr>
          <w:rFonts w:hAnsi="ＭＳ 明朝" w:cs="ＭＳ 明朝" w:hint="eastAsia"/>
          <w:color w:val="000000"/>
          <w:spacing w:val="17"/>
        </w:rPr>
        <w:t>」</w:t>
      </w:r>
      <w:r>
        <w:rPr>
          <w:rFonts w:hAnsi="ＭＳ 明朝" w:cs="ＭＳ 明朝"/>
          <w:color w:val="000000"/>
          <w:spacing w:val="17"/>
        </w:rPr>
        <w:t>「いいえ</w:t>
      </w:r>
      <w:r>
        <w:rPr>
          <w:rFonts w:hAnsi="ＭＳ 明朝" w:cs="ＭＳ 明朝" w:hint="eastAsia"/>
          <w:color w:val="000000"/>
          <w:spacing w:val="17"/>
        </w:rPr>
        <w:t>」</w:t>
      </w:r>
      <w:r>
        <w:rPr>
          <w:rFonts w:hAnsi="ＭＳ 明朝" w:cs="ＭＳ 明朝"/>
          <w:color w:val="000000"/>
          <w:spacing w:val="17"/>
        </w:rPr>
        <w:t>の欄のいずれかに〇をつけてください。</w:t>
      </w:r>
    </w:p>
    <w:tbl>
      <w:tblPr>
        <w:tblStyle w:val="af"/>
        <w:tblW w:w="0" w:type="auto"/>
        <w:tblLook w:val="04A0" w:firstRow="1" w:lastRow="0" w:firstColumn="1" w:lastColumn="0" w:noHBand="0" w:noVBand="1"/>
      </w:tblPr>
      <w:tblGrid>
        <w:gridCol w:w="988"/>
        <w:gridCol w:w="992"/>
        <w:gridCol w:w="7648"/>
      </w:tblGrid>
      <w:tr w:rsidR="00B93F99" w14:paraId="2D3DFAAC" w14:textId="77777777" w:rsidTr="001F131A">
        <w:tc>
          <w:tcPr>
            <w:tcW w:w="988" w:type="dxa"/>
          </w:tcPr>
          <w:p w14:paraId="6C96F74E" w14:textId="77777777" w:rsidR="00B93F99" w:rsidRDefault="00B93F99" w:rsidP="001F131A">
            <w:pPr>
              <w:widowControl/>
              <w:autoSpaceDE/>
              <w:autoSpaceDN/>
              <w:spacing w:line="240" w:lineRule="auto"/>
              <w:jc w:val="center"/>
              <w:rPr>
                <w:color w:val="000000"/>
                <w:spacing w:val="17"/>
              </w:rPr>
            </w:pPr>
            <w:r>
              <w:rPr>
                <w:color w:val="000000"/>
                <w:spacing w:val="17"/>
              </w:rPr>
              <w:t>はい</w:t>
            </w:r>
          </w:p>
        </w:tc>
        <w:tc>
          <w:tcPr>
            <w:tcW w:w="992" w:type="dxa"/>
          </w:tcPr>
          <w:p w14:paraId="769A6DEF" w14:textId="77777777" w:rsidR="00B93F99" w:rsidRDefault="00B93F99" w:rsidP="001F131A">
            <w:pPr>
              <w:widowControl/>
              <w:autoSpaceDE/>
              <w:autoSpaceDN/>
              <w:spacing w:line="240" w:lineRule="auto"/>
              <w:jc w:val="center"/>
              <w:rPr>
                <w:color w:val="000000"/>
                <w:spacing w:val="17"/>
              </w:rPr>
            </w:pPr>
            <w:r>
              <w:rPr>
                <w:color w:val="000000"/>
                <w:spacing w:val="17"/>
              </w:rPr>
              <w:t>いいえ</w:t>
            </w:r>
          </w:p>
        </w:tc>
        <w:tc>
          <w:tcPr>
            <w:tcW w:w="7648" w:type="dxa"/>
          </w:tcPr>
          <w:p w14:paraId="1D785ABE" w14:textId="77777777" w:rsidR="00B93F99" w:rsidRDefault="00B93F99" w:rsidP="001F131A">
            <w:pPr>
              <w:widowControl/>
              <w:autoSpaceDE/>
              <w:autoSpaceDN/>
              <w:spacing w:line="240" w:lineRule="auto"/>
              <w:jc w:val="center"/>
              <w:rPr>
                <w:color w:val="000000"/>
                <w:spacing w:val="17"/>
              </w:rPr>
            </w:pPr>
            <w:r>
              <w:rPr>
                <w:color w:val="000000"/>
                <w:spacing w:val="17"/>
              </w:rPr>
              <w:t>資格</w:t>
            </w:r>
          </w:p>
        </w:tc>
      </w:tr>
      <w:tr w:rsidR="00B93F99" w14:paraId="4098C7F1" w14:textId="77777777" w:rsidTr="001F131A">
        <w:tc>
          <w:tcPr>
            <w:tcW w:w="988" w:type="dxa"/>
          </w:tcPr>
          <w:p w14:paraId="3DC6758C" w14:textId="77777777" w:rsidR="00B93F99" w:rsidRDefault="00B93F99" w:rsidP="001F131A">
            <w:pPr>
              <w:widowControl/>
              <w:autoSpaceDE/>
              <w:autoSpaceDN/>
              <w:spacing w:line="240" w:lineRule="auto"/>
              <w:jc w:val="left"/>
              <w:rPr>
                <w:color w:val="000000"/>
                <w:spacing w:val="17"/>
              </w:rPr>
            </w:pPr>
          </w:p>
        </w:tc>
        <w:tc>
          <w:tcPr>
            <w:tcW w:w="992" w:type="dxa"/>
          </w:tcPr>
          <w:p w14:paraId="01984644" w14:textId="77777777" w:rsidR="00B93F99" w:rsidRDefault="00B93F99" w:rsidP="001F131A">
            <w:pPr>
              <w:widowControl/>
              <w:autoSpaceDE/>
              <w:autoSpaceDN/>
              <w:spacing w:line="240" w:lineRule="auto"/>
              <w:jc w:val="left"/>
              <w:rPr>
                <w:color w:val="000000"/>
                <w:spacing w:val="17"/>
              </w:rPr>
            </w:pPr>
          </w:p>
        </w:tc>
        <w:tc>
          <w:tcPr>
            <w:tcW w:w="7648" w:type="dxa"/>
          </w:tcPr>
          <w:p w14:paraId="49CC6057" w14:textId="77777777" w:rsidR="00B93F99" w:rsidRPr="0027314E" w:rsidRDefault="00B93F99" w:rsidP="001F131A">
            <w:pPr>
              <w:widowControl/>
              <w:autoSpaceDE/>
              <w:autoSpaceDN/>
              <w:spacing w:line="240" w:lineRule="auto"/>
              <w:jc w:val="left"/>
              <w:rPr>
                <w:color w:val="000000"/>
                <w:spacing w:val="17"/>
                <w:sz w:val="20"/>
                <w:szCs w:val="18"/>
              </w:rPr>
            </w:pPr>
            <w:r w:rsidRPr="0027314E">
              <w:rPr>
                <w:rFonts w:hint="eastAsia"/>
                <w:color w:val="000000" w:themeColor="text1"/>
                <w:spacing w:val="0"/>
                <w:sz w:val="20"/>
                <w:szCs w:val="18"/>
              </w:rPr>
              <w:t>地方自治法施行令(昭和22年政令第16号)</w:t>
            </w:r>
            <w:r w:rsidRPr="0027314E">
              <w:rPr>
                <w:rFonts w:hAnsi="ＭＳ 明朝" w:hint="eastAsia"/>
                <w:color w:val="000000"/>
                <w:sz w:val="20"/>
                <w:szCs w:val="18"/>
              </w:rPr>
              <w:t>第16</w:t>
            </w:r>
            <w:r w:rsidRPr="0027314E">
              <w:rPr>
                <w:rFonts w:hAnsi="ＭＳ 明朝" w:hint="eastAsia"/>
                <w:sz w:val="20"/>
                <w:szCs w:val="18"/>
              </w:rPr>
              <w:t>7条の４の規定に該当しない者である。</w:t>
            </w:r>
          </w:p>
        </w:tc>
      </w:tr>
      <w:tr w:rsidR="00B93F99" w14:paraId="11E50364" w14:textId="77777777" w:rsidTr="001F131A">
        <w:tc>
          <w:tcPr>
            <w:tcW w:w="988" w:type="dxa"/>
          </w:tcPr>
          <w:p w14:paraId="403B41CA" w14:textId="77777777" w:rsidR="00B93F99" w:rsidRDefault="00B93F99" w:rsidP="001F131A">
            <w:pPr>
              <w:widowControl/>
              <w:autoSpaceDE/>
              <w:autoSpaceDN/>
              <w:spacing w:line="240" w:lineRule="auto"/>
              <w:jc w:val="left"/>
              <w:rPr>
                <w:color w:val="000000"/>
                <w:spacing w:val="17"/>
              </w:rPr>
            </w:pPr>
          </w:p>
        </w:tc>
        <w:tc>
          <w:tcPr>
            <w:tcW w:w="992" w:type="dxa"/>
          </w:tcPr>
          <w:p w14:paraId="3C57C909" w14:textId="77777777" w:rsidR="00B93F99" w:rsidRDefault="00B93F99" w:rsidP="001F131A">
            <w:pPr>
              <w:widowControl/>
              <w:autoSpaceDE/>
              <w:autoSpaceDN/>
              <w:spacing w:line="240" w:lineRule="auto"/>
              <w:jc w:val="left"/>
              <w:rPr>
                <w:color w:val="000000"/>
                <w:spacing w:val="17"/>
              </w:rPr>
            </w:pPr>
          </w:p>
        </w:tc>
        <w:tc>
          <w:tcPr>
            <w:tcW w:w="7648" w:type="dxa"/>
          </w:tcPr>
          <w:p w14:paraId="313D25EF" w14:textId="4770DF17" w:rsidR="00B93F99" w:rsidRPr="00B93F99" w:rsidRDefault="00B93F99" w:rsidP="001F131A">
            <w:pPr>
              <w:widowControl/>
              <w:autoSpaceDE/>
              <w:autoSpaceDN/>
              <w:spacing w:line="240" w:lineRule="auto"/>
              <w:jc w:val="left"/>
              <w:rPr>
                <w:rFonts w:hAnsi="ＭＳ 明朝"/>
                <w:color w:val="000000" w:themeColor="text1"/>
                <w:sz w:val="20"/>
                <w:highlight w:val="yellow"/>
              </w:rPr>
            </w:pPr>
            <w:r w:rsidRPr="00B93F99">
              <w:rPr>
                <w:rFonts w:hAnsi="ＭＳ 明朝" w:hint="eastAsia"/>
                <w:color w:val="000000" w:themeColor="text1"/>
                <w:spacing w:val="0"/>
                <w:kern w:val="2"/>
                <w:sz w:val="20"/>
              </w:rPr>
              <w:t>入札参加申請期限時点で、業務委託の電算関係又は各種調査おいて、郡山市一般競争入札及び指名競争入札参加者の資格審査等に関する要綱（令和６年９月６日制定）に基づく認定を受け、令和７・８年度</w:t>
            </w:r>
            <w:r w:rsidRPr="00B93F99">
              <w:rPr>
                <w:rFonts w:hAnsi="ＭＳ 明朝" w:hint="eastAsia"/>
                <w:color w:val="000000" w:themeColor="text1"/>
                <w:spacing w:val="1"/>
                <w:kern w:val="2"/>
                <w:sz w:val="20"/>
              </w:rPr>
              <w:t>競争入札参加有資格業者名簿</w:t>
            </w:r>
            <w:r w:rsidRPr="00B93F99">
              <w:rPr>
                <w:rFonts w:hAnsi="ＭＳ 明朝" w:hint="eastAsia"/>
                <w:spacing w:val="0"/>
                <w:kern w:val="2"/>
                <w:sz w:val="20"/>
              </w:rPr>
              <w:t>に登録されている者であること。</w:t>
            </w:r>
          </w:p>
        </w:tc>
      </w:tr>
      <w:tr w:rsidR="00B93F99" w14:paraId="4130B6EF" w14:textId="77777777" w:rsidTr="001F131A">
        <w:tc>
          <w:tcPr>
            <w:tcW w:w="988" w:type="dxa"/>
          </w:tcPr>
          <w:p w14:paraId="19BFC455" w14:textId="77777777" w:rsidR="00B93F99" w:rsidRDefault="00B93F99" w:rsidP="001F131A">
            <w:pPr>
              <w:widowControl/>
              <w:autoSpaceDE/>
              <w:autoSpaceDN/>
              <w:spacing w:line="240" w:lineRule="auto"/>
              <w:jc w:val="left"/>
              <w:rPr>
                <w:color w:val="000000"/>
                <w:spacing w:val="17"/>
              </w:rPr>
            </w:pPr>
          </w:p>
        </w:tc>
        <w:tc>
          <w:tcPr>
            <w:tcW w:w="992" w:type="dxa"/>
          </w:tcPr>
          <w:p w14:paraId="6CDBC2C6" w14:textId="77777777" w:rsidR="00B93F99" w:rsidRDefault="00B93F99" w:rsidP="001F131A">
            <w:pPr>
              <w:widowControl/>
              <w:autoSpaceDE/>
              <w:autoSpaceDN/>
              <w:spacing w:line="240" w:lineRule="auto"/>
              <w:jc w:val="left"/>
              <w:rPr>
                <w:color w:val="000000"/>
                <w:spacing w:val="17"/>
              </w:rPr>
            </w:pPr>
          </w:p>
        </w:tc>
        <w:tc>
          <w:tcPr>
            <w:tcW w:w="7648" w:type="dxa"/>
          </w:tcPr>
          <w:p w14:paraId="45CC1439" w14:textId="4329783A" w:rsidR="00B93F99" w:rsidRPr="0027314E" w:rsidRDefault="00B93F99" w:rsidP="001F131A">
            <w:pPr>
              <w:widowControl/>
              <w:autoSpaceDE/>
              <w:autoSpaceDN/>
              <w:spacing w:line="240" w:lineRule="auto"/>
              <w:jc w:val="left"/>
              <w:rPr>
                <w:color w:val="000000"/>
                <w:spacing w:val="17"/>
                <w:sz w:val="20"/>
              </w:rPr>
            </w:pPr>
            <w:r w:rsidRPr="00B93F99">
              <w:rPr>
                <w:rFonts w:hAnsi="ＭＳ 明朝" w:hint="eastAsia"/>
                <w:sz w:val="20"/>
              </w:rPr>
              <w:t>郡山市競争入札に係る有資格業者指名停止等措置要綱（令和７年３月28日制定。以下「指名停止要綱」という。）に基づく指名停止期間中の者（入札日までに指名停止基準に該当することとなった者を含む。）でないこと。</w:t>
            </w:r>
          </w:p>
        </w:tc>
      </w:tr>
      <w:tr w:rsidR="00B93F99" w14:paraId="5CFFC3D7" w14:textId="77777777" w:rsidTr="001F131A">
        <w:tc>
          <w:tcPr>
            <w:tcW w:w="988" w:type="dxa"/>
          </w:tcPr>
          <w:p w14:paraId="04E6BBB4" w14:textId="77777777" w:rsidR="00B93F99" w:rsidRDefault="00B93F99" w:rsidP="001F131A">
            <w:pPr>
              <w:widowControl/>
              <w:autoSpaceDE/>
              <w:autoSpaceDN/>
              <w:spacing w:line="240" w:lineRule="auto"/>
              <w:jc w:val="left"/>
              <w:rPr>
                <w:color w:val="000000"/>
                <w:spacing w:val="17"/>
              </w:rPr>
            </w:pPr>
          </w:p>
        </w:tc>
        <w:tc>
          <w:tcPr>
            <w:tcW w:w="992" w:type="dxa"/>
          </w:tcPr>
          <w:p w14:paraId="22BBA9CE" w14:textId="77777777" w:rsidR="00B93F99" w:rsidRDefault="00B93F99" w:rsidP="001F131A">
            <w:pPr>
              <w:widowControl/>
              <w:autoSpaceDE/>
              <w:autoSpaceDN/>
              <w:spacing w:line="240" w:lineRule="auto"/>
              <w:jc w:val="left"/>
              <w:rPr>
                <w:color w:val="000000"/>
                <w:spacing w:val="17"/>
              </w:rPr>
            </w:pPr>
          </w:p>
        </w:tc>
        <w:tc>
          <w:tcPr>
            <w:tcW w:w="7648" w:type="dxa"/>
          </w:tcPr>
          <w:p w14:paraId="146E0D45" w14:textId="43E9427C" w:rsidR="00B93F99" w:rsidRPr="0027314E" w:rsidRDefault="00B93F99" w:rsidP="001F131A">
            <w:pPr>
              <w:widowControl/>
              <w:autoSpaceDE/>
              <w:autoSpaceDN/>
              <w:spacing w:line="240" w:lineRule="auto"/>
              <w:jc w:val="left"/>
              <w:rPr>
                <w:color w:val="000000"/>
                <w:spacing w:val="17"/>
                <w:sz w:val="20"/>
              </w:rPr>
            </w:pPr>
            <w:r w:rsidRPr="00B93F99">
              <w:rPr>
                <w:rFonts w:hAnsi="ＭＳ 明朝" w:hint="eastAsia"/>
                <w:spacing w:val="1"/>
                <w:sz w:val="20"/>
                <w:szCs w:val="21"/>
              </w:rPr>
              <w:t>会社更生法（平成14年法律第154号）又は民事再生法（平成11年法律第225号）に基づき、更生手続開始又は再生手続開始の申立てがなされている者でないこと。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p>
        </w:tc>
      </w:tr>
      <w:tr w:rsidR="00B93F99" w14:paraId="4E333DA8" w14:textId="77777777" w:rsidTr="001F131A">
        <w:tc>
          <w:tcPr>
            <w:tcW w:w="988" w:type="dxa"/>
          </w:tcPr>
          <w:p w14:paraId="5B08FCA6" w14:textId="77777777" w:rsidR="00B93F99" w:rsidRDefault="00B93F99" w:rsidP="001F131A">
            <w:pPr>
              <w:widowControl/>
              <w:autoSpaceDE/>
              <w:autoSpaceDN/>
              <w:spacing w:line="240" w:lineRule="auto"/>
              <w:jc w:val="left"/>
              <w:rPr>
                <w:color w:val="000000"/>
                <w:spacing w:val="17"/>
              </w:rPr>
            </w:pPr>
          </w:p>
        </w:tc>
        <w:tc>
          <w:tcPr>
            <w:tcW w:w="992" w:type="dxa"/>
          </w:tcPr>
          <w:p w14:paraId="02D15B94" w14:textId="77777777" w:rsidR="00B93F99" w:rsidRDefault="00B93F99" w:rsidP="001F131A">
            <w:pPr>
              <w:widowControl/>
              <w:autoSpaceDE/>
              <w:autoSpaceDN/>
              <w:spacing w:line="240" w:lineRule="auto"/>
              <w:jc w:val="left"/>
              <w:rPr>
                <w:color w:val="000000"/>
                <w:spacing w:val="17"/>
              </w:rPr>
            </w:pPr>
          </w:p>
        </w:tc>
        <w:tc>
          <w:tcPr>
            <w:tcW w:w="7648" w:type="dxa"/>
          </w:tcPr>
          <w:p w14:paraId="34B2E621" w14:textId="654F8F91" w:rsidR="00B93F99" w:rsidRPr="0027314E" w:rsidRDefault="00B93F99" w:rsidP="001F131A">
            <w:pPr>
              <w:widowControl/>
              <w:autoSpaceDE/>
              <w:autoSpaceDN/>
              <w:spacing w:line="240" w:lineRule="auto"/>
              <w:jc w:val="left"/>
              <w:rPr>
                <w:color w:val="000000"/>
                <w:spacing w:val="17"/>
                <w:sz w:val="20"/>
              </w:rPr>
            </w:pPr>
            <w:r w:rsidRPr="00B93F99">
              <w:rPr>
                <w:rFonts w:hAnsi="ＭＳ 明朝" w:hint="eastAsia"/>
                <w:spacing w:val="1"/>
                <w:sz w:val="20"/>
                <w:szCs w:val="21"/>
              </w:rPr>
              <w:t>役員等が郡山市暴力団排除条例（平成24年郡山市条例第46号）第２条第２号に規定する暴力団員又は第８条に規定する社会的非難関係者と認められる者でないこと。</w:t>
            </w:r>
          </w:p>
        </w:tc>
      </w:tr>
      <w:tr w:rsidR="00B93F99" w14:paraId="5E2CCC48" w14:textId="77777777" w:rsidTr="001F131A">
        <w:trPr>
          <w:trHeight w:val="505"/>
        </w:trPr>
        <w:tc>
          <w:tcPr>
            <w:tcW w:w="988" w:type="dxa"/>
          </w:tcPr>
          <w:p w14:paraId="1ED13352" w14:textId="77777777" w:rsidR="00B93F99" w:rsidRDefault="00B93F99" w:rsidP="001F131A">
            <w:pPr>
              <w:widowControl/>
              <w:autoSpaceDE/>
              <w:autoSpaceDN/>
              <w:spacing w:line="240" w:lineRule="auto"/>
              <w:jc w:val="left"/>
              <w:rPr>
                <w:color w:val="000000"/>
                <w:spacing w:val="17"/>
              </w:rPr>
            </w:pPr>
          </w:p>
        </w:tc>
        <w:tc>
          <w:tcPr>
            <w:tcW w:w="992" w:type="dxa"/>
          </w:tcPr>
          <w:p w14:paraId="5AAA89BC" w14:textId="77777777" w:rsidR="00B93F99" w:rsidRDefault="00B93F99" w:rsidP="001F131A">
            <w:pPr>
              <w:widowControl/>
              <w:autoSpaceDE/>
              <w:autoSpaceDN/>
              <w:spacing w:line="240" w:lineRule="auto"/>
              <w:jc w:val="left"/>
              <w:rPr>
                <w:color w:val="000000"/>
                <w:spacing w:val="17"/>
              </w:rPr>
            </w:pPr>
          </w:p>
        </w:tc>
        <w:tc>
          <w:tcPr>
            <w:tcW w:w="7648" w:type="dxa"/>
          </w:tcPr>
          <w:p w14:paraId="5B72CCEF" w14:textId="7A7CEE9D" w:rsidR="00B93F99" w:rsidRPr="00B93F99" w:rsidRDefault="00B93F99" w:rsidP="001F131A">
            <w:pPr>
              <w:widowControl/>
              <w:autoSpaceDE/>
              <w:autoSpaceDN/>
              <w:spacing w:line="240" w:lineRule="auto"/>
              <w:rPr>
                <w:strike/>
                <w:spacing w:val="17"/>
                <w:sz w:val="20"/>
              </w:rPr>
            </w:pPr>
            <w:r w:rsidRPr="00B93F99">
              <w:rPr>
                <w:rFonts w:hAnsi="ＭＳ 明朝" w:hint="eastAsia"/>
                <w:spacing w:val="1"/>
                <w:sz w:val="20"/>
              </w:rPr>
              <w:t>中小企業等協同組合法（昭和24年法律第181号）に基づく事業協同組合の構成員にあっては、加盟する協同組合が本入札に参加していないこと。</w:t>
            </w:r>
          </w:p>
        </w:tc>
      </w:tr>
      <w:tr w:rsidR="00B93F99" w14:paraId="122FFE2A" w14:textId="77777777" w:rsidTr="001F131A">
        <w:tc>
          <w:tcPr>
            <w:tcW w:w="988" w:type="dxa"/>
          </w:tcPr>
          <w:p w14:paraId="77A5CFBA" w14:textId="77777777" w:rsidR="00B93F99" w:rsidRDefault="00B93F99" w:rsidP="001F131A">
            <w:pPr>
              <w:widowControl/>
              <w:autoSpaceDE/>
              <w:autoSpaceDN/>
              <w:spacing w:line="240" w:lineRule="auto"/>
              <w:jc w:val="left"/>
              <w:rPr>
                <w:color w:val="000000"/>
                <w:spacing w:val="17"/>
              </w:rPr>
            </w:pPr>
          </w:p>
        </w:tc>
        <w:tc>
          <w:tcPr>
            <w:tcW w:w="992" w:type="dxa"/>
          </w:tcPr>
          <w:p w14:paraId="2F1F1027" w14:textId="77777777" w:rsidR="00B93F99" w:rsidRDefault="00B93F99" w:rsidP="001F131A">
            <w:pPr>
              <w:widowControl/>
              <w:autoSpaceDE/>
              <w:autoSpaceDN/>
              <w:spacing w:line="240" w:lineRule="auto"/>
              <w:jc w:val="left"/>
              <w:rPr>
                <w:color w:val="000000"/>
                <w:spacing w:val="17"/>
              </w:rPr>
            </w:pPr>
          </w:p>
        </w:tc>
        <w:tc>
          <w:tcPr>
            <w:tcW w:w="7648" w:type="dxa"/>
          </w:tcPr>
          <w:p w14:paraId="55BB6C20" w14:textId="17A292EB" w:rsidR="00B93F99" w:rsidRPr="00B93F99" w:rsidRDefault="00B93F99" w:rsidP="001F131A">
            <w:pPr>
              <w:spacing w:line="240" w:lineRule="auto"/>
              <w:rPr>
                <w:rFonts w:hAnsi="ＭＳ 明朝"/>
                <w:spacing w:val="1"/>
                <w:sz w:val="20"/>
              </w:rPr>
            </w:pPr>
            <w:r>
              <w:rPr>
                <w:rFonts w:hAnsi="ＭＳ 明朝" w:hint="eastAsia"/>
                <w:spacing w:val="1"/>
                <w:szCs w:val="21"/>
              </w:rPr>
              <w:t>国土交通省における点検支援技術性能カタログ（令和７年４月時点</w:t>
            </w:r>
            <w:r w:rsidRPr="00716E7C">
              <w:rPr>
                <w:rFonts w:hAnsi="ＭＳ 明朝" w:hint="eastAsia"/>
                <w:spacing w:val="1"/>
                <w:szCs w:val="21"/>
              </w:rPr>
              <w:t>）</w:t>
            </w:r>
            <w:r>
              <w:rPr>
                <w:rFonts w:hAnsi="ＭＳ 明朝" w:hint="eastAsia"/>
                <w:spacing w:val="1"/>
                <w:szCs w:val="21"/>
              </w:rPr>
              <w:t>の技術概要【舗装（ひび割れ率・わだち掘れ量・IRI）】</w:t>
            </w:r>
            <w:r w:rsidRPr="00716E7C">
              <w:rPr>
                <w:rFonts w:hAnsi="ＭＳ 明朝" w:hint="eastAsia"/>
                <w:spacing w:val="1"/>
                <w:szCs w:val="21"/>
              </w:rPr>
              <w:t>に</w:t>
            </w:r>
            <w:r>
              <w:rPr>
                <w:rFonts w:hAnsi="ＭＳ 明朝" w:hint="eastAsia"/>
                <w:spacing w:val="1"/>
                <w:szCs w:val="21"/>
              </w:rPr>
              <w:t>おいて、実道試験結果（舗装）のひび割れ率又はわだち掘れ量、IRIのいずれかのⅡ以上検出率及びⅡ以上的中率が90～100％であること。</w:t>
            </w:r>
          </w:p>
        </w:tc>
      </w:tr>
    </w:tbl>
    <w:p w14:paraId="35E73780" w14:textId="321AF7FC" w:rsidR="00CA1C03" w:rsidRPr="009856BE" w:rsidRDefault="00CA1C03" w:rsidP="008F6659">
      <w:pPr>
        <w:snapToGrid w:val="0"/>
        <w:spacing w:line="425" w:lineRule="exact"/>
        <w:jc w:val="center"/>
        <w:rPr>
          <w:rFonts w:hAnsi="ＭＳ 明朝"/>
          <w:spacing w:val="17"/>
          <w:szCs w:val="21"/>
        </w:rPr>
      </w:pP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bookmarkStart w:id="0" w:name="_GoBack"/>
      <w:bookmarkEnd w:id="0"/>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7"/>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5D42C" w14:textId="77777777" w:rsidR="00FE71E1" w:rsidRDefault="00FE71E1">
      <w:r>
        <w:separator/>
      </w:r>
    </w:p>
  </w:endnote>
  <w:endnote w:type="continuationSeparator" w:id="0">
    <w:p w14:paraId="067C9523" w14:textId="77777777" w:rsidR="00FE71E1" w:rsidRDefault="00FE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F192" w14:textId="77777777" w:rsidR="00FE71E1" w:rsidRDefault="00FE71E1">
      <w:r>
        <w:separator/>
      </w:r>
    </w:p>
  </w:footnote>
  <w:footnote w:type="continuationSeparator" w:id="0">
    <w:p w14:paraId="38B9E032" w14:textId="77777777" w:rsidR="00FE71E1" w:rsidRDefault="00FE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4550C"/>
    <w:multiLevelType w:val="hybridMultilevel"/>
    <w:tmpl w:val="75968982"/>
    <w:lvl w:ilvl="0" w:tplc="E17E37E4">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570B6"/>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93F99"/>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 w:val="00FE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table" w:styleId="af">
    <w:name w:val="Table Grid"/>
    <w:basedOn w:val="a1"/>
    <w:rsid w:val="00B9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93F99"/>
    <w:pPr>
      <w:ind w:leftChars="400" w:left="840"/>
    </w:pPr>
  </w:style>
  <w:style w:type="character" w:styleId="af1">
    <w:name w:val="Hyperlink"/>
    <w:basedOn w:val="a0"/>
    <w:rsid w:val="00B93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大坊　元一</cp:lastModifiedBy>
  <cp:revision>15</cp:revision>
  <cp:lastPrinted>2025-02-28T11:41:00Z</cp:lastPrinted>
  <dcterms:created xsi:type="dcterms:W3CDTF">2022-05-17T09:49:00Z</dcterms:created>
  <dcterms:modified xsi:type="dcterms:W3CDTF">2025-07-22T10:08:00Z</dcterms:modified>
</cp:coreProperties>
</file>